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color w:val="000000" w:themeColor="text1"/>
          <w:sz w:val="44"/>
          <w:szCs w:val="44"/>
          <w14:textFill>
            <w14:solidFill>
              <w14:schemeClr w14:val="tx1"/>
            </w14:solidFill>
          </w14:textFill>
        </w:rPr>
      </w:pPr>
      <w:r>
        <w:rPr>
          <w:rFonts w:hint="eastAsia" w:ascii="黑体" w:eastAsia="黑体"/>
          <w:b/>
          <w:bCs/>
          <w:color w:val="000000" w:themeColor="text1"/>
          <w:sz w:val="44"/>
          <w:szCs w:val="44"/>
          <w14:textFill>
            <w14:solidFill>
              <w14:schemeClr w14:val="tx1"/>
            </w14:solidFill>
          </w14:textFill>
        </w:rPr>
        <w:t>马克思主义学院2</w:t>
      </w:r>
      <w:r>
        <w:rPr>
          <w:rFonts w:ascii="黑体" w:eastAsia="黑体"/>
          <w:b/>
          <w:bCs/>
          <w:color w:val="000000" w:themeColor="text1"/>
          <w:sz w:val="44"/>
          <w:szCs w:val="44"/>
          <w14:textFill>
            <w14:solidFill>
              <w14:schemeClr w14:val="tx1"/>
            </w14:solidFill>
          </w14:textFill>
        </w:rPr>
        <w:t>02</w:t>
      </w:r>
      <w:r>
        <w:rPr>
          <w:rFonts w:hint="eastAsia" w:ascii="黑体" w:eastAsia="黑体"/>
          <w:b/>
          <w:bCs/>
          <w:color w:val="000000" w:themeColor="text1"/>
          <w:sz w:val="44"/>
          <w:szCs w:val="44"/>
          <w:lang w:val="en-US" w:eastAsia="zh-CN"/>
          <w14:textFill>
            <w14:solidFill>
              <w14:schemeClr w14:val="tx1"/>
            </w14:solidFill>
          </w14:textFill>
        </w:rPr>
        <w:t>2</w:t>
      </w:r>
      <w:r>
        <w:rPr>
          <w:rFonts w:hint="eastAsia" w:ascii="黑体" w:eastAsia="黑体"/>
          <w:b/>
          <w:bCs/>
          <w:color w:val="000000" w:themeColor="text1"/>
          <w:sz w:val="44"/>
          <w:szCs w:val="44"/>
          <w14:textFill>
            <w14:solidFill>
              <w14:schemeClr w14:val="tx1"/>
            </w14:solidFill>
          </w14:textFill>
        </w:rPr>
        <w:t>年度</w:t>
      </w:r>
    </w:p>
    <w:p>
      <w:pPr>
        <w:jc w:val="center"/>
        <w:rPr>
          <w:rFonts w:ascii="黑体" w:eastAsia="黑体"/>
          <w:b/>
          <w:bCs/>
          <w:color w:val="000000" w:themeColor="text1"/>
          <w:sz w:val="44"/>
          <w:szCs w:val="44"/>
          <w14:textFill>
            <w14:solidFill>
              <w14:schemeClr w14:val="tx1"/>
            </w14:solidFill>
          </w14:textFill>
        </w:rPr>
      </w:pPr>
      <w:r>
        <w:rPr>
          <w:rFonts w:hint="eastAsia" w:ascii="黑体" w:eastAsia="黑体"/>
          <w:b/>
          <w:bCs/>
          <w:color w:val="000000" w:themeColor="text1"/>
          <w:sz w:val="44"/>
          <w:szCs w:val="44"/>
          <w14:textFill>
            <w14:solidFill>
              <w14:schemeClr w14:val="tx1"/>
            </w14:solidFill>
          </w14:textFill>
        </w:rPr>
        <w:t>硕士研究生学业奖学金评定细则</w:t>
      </w:r>
    </w:p>
    <w:p>
      <w:pPr>
        <w:jc w:val="center"/>
        <w:rPr>
          <w:rFonts w:ascii="黑体" w:eastAsia="黑体"/>
          <w:b/>
          <w:bCs/>
          <w:color w:val="000000" w:themeColor="text1"/>
          <w:sz w:val="44"/>
          <w:szCs w:val="44"/>
          <w14:textFill>
            <w14:solidFill>
              <w14:schemeClr w14:val="tx1"/>
            </w14:solidFill>
          </w14:textFill>
        </w:rPr>
      </w:pPr>
    </w:p>
    <w:p>
      <w:pPr>
        <w:snapToGrid w:val="0"/>
        <w:spacing w:before="60" w:line="360" w:lineRule="exact"/>
        <w:rPr>
          <w:rFonts w:ascii="仿宋" w:hAnsi="仿宋" w:eastAsia="仿宋"/>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为真正发挥硕士研究生学业奖学金的激励和导向作用，充分调动广大硕士研究生的学习积极性，引导研究生在思想、学习、科研、实践等方面的进步，同时也</w:t>
      </w:r>
      <w:r>
        <w:rPr>
          <w:rFonts w:ascii="仿宋" w:hAnsi="仿宋" w:eastAsia="仿宋"/>
          <w:color w:val="000000" w:themeColor="text1"/>
          <w:sz w:val="32"/>
          <w:szCs w:val="32"/>
          <w14:textFill>
            <w14:solidFill>
              <w14:schemeClr w14:val="tx1"/>
            </w14:solidFill>
          </w14:textFill>
        </w:rPr>
        <w:t>为了规范研究生奖</w:t>
      </w:r>
      <w:r>
        <w:rPr>
          <w:rFonts w:hint="eastAsia" w:ascii="仿宋" w:hAnsi="仿宋" w:eastAsia="仿宋"/>
          <w:color w:val="000000" w:themeColor="text1"/>
          <w:sz w:val="32"/>
          <w:szCs w:val="32"/>
          <w14:textFill>
            <w14:solidFill>
              <w14:schemeClr w14:val="tx1"/>
            </w14:solidFill>
          </w14:textFill>
        </w:rPr>
        <w:t>助</w:t>
      </w:r>
      <w:r>
        <w:rPr>
          <w:rFonts w:ascii="仿宋" w:hAnsi="仿宋" w:eastAsia="仿宋"/>
          <w:color w:val="000000" w:themeColor="text1"/>
          <w:sz w:val="32"/>
          <w:szCs w:val="32"/>
          <w14:textFill>
            <w14:solidFill>
              <w14:schemeClr w14:val="tx1"/>
            </w14:solidFill>
          </w14:textFill>
        </w:rPr>
        <w:t>学金的评</w:t>
      </w:r>
      <w:r>
        <w:rPr>
          <w:rFonts w:hint="eastAsia" w:ascii="仿宋" w:hAnsi="仿宋" w:eastAsia="仿宋"/>
          <w:color w:val="000000" w:themeColor="text1"/>
          <w:sz w:val="32"/>
          <w:szCs w:val="32"/>
          <w14:textFill>
            <w14:solidFill>
              <w14:schemeClr w14:val="tx1"/>
            </w14:solidFill>
          </w14:textFill>
        </w:rPr>
        <w:t>选</w:t>
      </w:r>
      <w:r>
        <w:rPr>
          <w:rFonts w:ascii="仿宋" w:hAnsi="仿宋" w:eastAsia="仿宋"/>
          <w:color w:val="000000" w:themeColor="text1"/>
          <w:sz w:val="32"/>
          <w:szCs w:val="32"/>
          <w14:textFill>
            <w14:solidFill>
              <w14:schemeClr w14:val="tx1"/>
            </w14:solidFill>
          </w14:textFill>
        </w:rPr>
        <w:t>、发放</w:t>
      </w:r>
      <w:r>
        <w:rPr>
          <w:rFonts w:hint="eastAsia" w:ascii="仿宋" w:hAnsi="仿宋" w:eastAsia="仿宋"/>
          <w:color w:val="000000" w:themeColor="text1"/>
          <w:sz w:val="32"/>
          <w:szCs w:val="32"/>
          <w14:textFill>
            <w14:solidFill>
              <w14:schemeClr w14:val="tx1"/>
            </w14:solidFill>
          </w14:textFill>
        </w:rPr>
        <w:t>和</w:t>
      </w:r>
      <w:r>
        <w:rPr>
          <w:rFonts w:ascii="仿宋" w:hAnsi="仿宋" w:eastAsia="仿宋"/>
          <w:color w:val="000000" w:themeColor="text1"/>
          <w:sz w:val="32"/>
          <w:szCs w:val="32"/>
          <w14:textFill>
            <w14:solidFill>
              <w14:schemeClr w14:val="tx1"/>
            </w14:solidFill>
          </w14:textFill>
        </w:rPr>
        <w:t>管理等工作</w:t>
      </w:r>
      <w:r>
        <w:rPr>
          <w:rFonts w:hint="eastAsia" w:ascii="仿宋" w:hAnsi="仿宋" w:eastAsia="仿宋"/>
          <w:color w:val="000000" w:themeColor="text1"/>
          <w:sz w:val="32"/>
          <w:szCs w:val="32"/>
          <w14:textFill>
            <w14:solidFill>
              <w14:schemeClr w14:val="tx1"/>
            </w14:solidFill>
          </w14:textFill>
        </w:rPr>
        <w:t>, 保证奖学金的评定公开、公平、公正，根据学校研究生院有关文件精神，结合我院实际情况，</w:t>
      </w:r>
      <w:r>
        <w:rPr>
          <w:rFonts w:ascii="仿宋" w:hAnsi="仿宋" w:eastAsia="仿宋"/>
          <w:color w:val="000000" w:themeColor="text1"/>
          <w:sz w:val="32"/>
          <w:szCs w:val="32"/>
          <w14:textFill>
            <w14:solidFill>
              <w14:schemeClr w14:val="tx1"/>
            </w14:solidFill>
          </w14:textFill>
        </w:rPr>
        <w:t>特制定本规定</w:t>
      </w:r>
      <w:r>
        <w:rPr>
          <w:rFonts w:hint="eastAsia" w:ascii="仿宋" w:hAnsi="仿宋" w:eastAsia="仿宋"/>
          <w:color w:val="000000" w:themeColor="text1"/>
          <w:sz w:val="32"/>
          <w:szCs w:val="32"/>
          <w14:textFill>
            <w14:solidFill>
              <w14:schemeClr w14:val="tx1"/>
            </w14:solidFill>
          </w14:textFill>
        </w:rPr>
        <w:t>。具体如下：</w:t>
      </w:r>
    </w:p>
    <w:p>
      <w:pPr>
        <w:spacing w:beforeLines="75" w:afterLines="75" w:line="360" w:lineRule="exact"/>
        <w:ind w:firstLine="651" w:firstLineChars="200"/>
        <w:outlineLvl w:val="0"/>
        <w:rPr>
          <w:rFonts w:ascii="黑体" w:hAnsi="黑体" w:eastAsia="黑体"/>
          <w:b/>
          <w:color w:val="000000" w:themeColor="text1"/>
          <w:spacing w:val="2"/>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一、硕士研究生学业奖学金评定工作的组织</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马克思主义学院硕士研究生学业奖学金评定，由学院组成硕士研究生</w:t>
      </w:r>
      <w:r>
        <w:rPr>
          <w:rFonts w:ascii="仿宋" w:hAnsi="仿宋" w:eastAsia="仿宋"/>
          <w:color w:val="000000" w:themeColor="text1"/>
          <w:sz w:val="32"/>
          <w:szCs w:val="32"/>
          <w14:textFill>
            <w14:solidFill>
              <w14:schemeClr w14:val="tx1"/>
            </w14:solidFill>
          </w14:textFill>
        </w:rPr>
        <w:t>奖学金评定小组</w:t>
      </w:r>
      <w:r>
        <w:rPr>
          <w:rFonts w:hint="eastAsia" w:ascii="仿宋" w:hAnsi="仿宋" w:eastAsia="仿宋"/>
          <w:color w:val="000000" w:themeColor="text1"/>
          <w:sz w:val="32"/>
          <w:szCs w:val="32"/>
          <w14:textFill>
            <w14:solidFill>
              <w14:schemeClr w14:val="tx1"/>
            </w14:solidFill>
          </w14:textFill>
        </w:rPr>
        <w:t>负责进行该项工作。评定小组成员构成如下：</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组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长：</w:t>
      </w:r>
      <w:r>
        <w:rPr>
          <w:rFonts w:hint="eastAsia" w:ascii="仿宋" w:hAnsi="仿宋" w:eastAsia="仿宋"/>
          <w:color w:val="000000" w:themeColor="text1"/>
          <w:sz w:val="32"/>
          <w:szCs w:val="32"/>
          <w:lang w:val="en-US" w:eastAsia="zh-CN"/>
          <w14:textFill>
            <w14:solidFill>
              <w14:schemeClr w14:val="tx1"/>
            </w14:solidFill>
          </w14:textFill>
        </w:rPr>
        <w:t>沈毅</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马云香</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副组长：</w:t>
      </w:r>
      <w:r>
        <w:rPr>
          <w:rFonts w:hint="eastAsia" w:ascii="仿宋" w:hAnsi="仿宋" w:eastAsia="仿宋"/>
          <w:color w:val="000000" w:themeColor="text1"/>
          <w:sz w:val="32"/>
          <w:szCs w:val="32"/>
          <w:lang w:val="en-US" w:eastAsia="zh-CN"/>
          <w14:textFill>
            <w14:solidFill>
              <w14:schemeClr w14:val="tx1"/>
            </w14:solidFill>
          </w14:textFill>
        </w:rPr>
        <w:t>赵爱伦</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成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员：巩茹</w:t>
      </w:r>
      <w:bookmarkStart w:id="0" w:name="_GoBack"/>
      <w:bookmarkEnd w:id="0"/>
      <w:r>
        <w:rPr>
          <w:rFonts w:hint="eastAsia" w:ascii="仿宋" w:hAnsi="仿宋" w:eastAsia="仿宋"/>
          <w:color w:val="000000" w:themeColor="text1"/>
          <w:sz w:val="32"/>
          <w:szCs w:val="32"/>
          <w14:textFill>
            <w14:solidFill>
              <w14:schemeClr w14:val="tx1"/>
            </w14:solidFill>
          </w14:textFill>
        </w:rPr>
        <w:t>敏、杨涯人、谢咏梅、黄英、</w:t>
      </w:r>
      <w:r>
        <w:rPr>
          <w:rFonts w:hint="eastAsia" w:ascii="仿宋" w:hAnsi="仿宋" w:eastAsia="仿宋"/>
          <w:color w:val="000000" w:themeColor="text1"/>
          <w:sz w:val="32"/>
          <w:szCs w:val="32"/>
          <w:lang w:val="en-US" w:eastAsia="zh-CN"/>
          <w14:textFill>
            <w14:solidFill>
              <w14:schemeClr w14:val="tx1"/>
            </w14:solidFill>
          </w14:textFill>
        </w:rPr>
        <w:t>吴威威、</w:t>
      </w:r>
      <w:r>
        <w:rPr>
          <w:rFonts w:hint="eastAsia" w:ascii="仿宋" w:hAnsi="仿宋" w:eastAsia="仿宋"/>
          <w:color w:val="000000" w:themeColor="text1"/>
          <w:sz w:val="32"/>
          <w:szCs w:val="32"/>
          <w14:textFill>
            <w14:solidFill>
              <w14:schemeClr w14:val="tx1"/>
            </w14:solidFill>
          </w14:textFill>
        </w:rPr>
        <w:t>石影、姜山、孟宪奎</w:t>
      </w:r>
    </w:p>
    <w:p>
      <w:pPr>
        <w:spacing w:line="380" w:lineRule="exact"/>
        <w:ind w:firstLine="651"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二、参评学生范围</w:t>
      </w:r>
    </w:p>
    <w:p>
      <w:pPr>
        <w:adjustRightInd w:val="0"/>
        <w:snapToGrid w:val="0"/>
        <w:spacing w:line="288" w:lineRule="auto"/>
        <w:ind w:firstLine="720" w:firstLineChars="225"/>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pacing w:val="4"/>
          <w:kern w:val="10"/>
          <w:sz w:val="32"/>
          <w:szCs w:val="32"/>
          <w14:textFill>
            <w14:solidFill>
              <w14:schemeClr w14:val="tx1"/>
            </w14:solidFill>
          </w14:textFill>
        </w:rPr>
        <w:t>参加</w:t>
      </w:r>
      <w:r>
        <w:rPr>
          <w:rFonts w:hint="eastAsia" w:ascii="仿宋" w:hAnsi="仿宋" w:eastAsia="仿宋"/>
          <w:color w:val="000000" w:themeColor="text1"/>
          <w:spacing w:val="4"/>
          <w:kern w:val="10"/>
          <w:sz w:val="32"/>
          <w:szCs w:val="32"/>
          <w14:textFill>
            <w14:solidFill>
              <w14:schemeClr w14:val="tx1"/>
            </w14:solidFill>
          </w14:textFill>
        </w:rPr>
        <w:t>学业奖学金</w:t>
      </w:r>
      <w:r>
        <w:rPr>
          <w:rFonts w:ascii="仿宋" w:hAnsi="仿宋" w:eastAsia="仿宋"/>
          <w:color w:val="000000" w:themeColor="text1"/>
          <w:spacing w:val="4"/>
          <w:kern w:val="10"/>
          <w:sz w:val="32"/>
          <w:szCs w:val="32"/>
          <w14:textFill>
            <w14:solidFill>
              <w14:schemeClr w14:val="tx1"/>
            </w14:solidFill>
          </w14:textFill>
        </w:rPr>
        <w:t>评定的</w:t>
      </w:r>
      <w:r>
        <w:rPr>
          <w:rFonts w:hint="eastAsia" w:ascii="仿宋" w:hAnsi="仿宋" w:eastAsia="仿宋"/>
          <w:color w:val="000000" w:themeColor="text1"/>
          <w:spacing w:val="4"/>
          <w:kern w:val="10"/>
          <w:sz w:val="32"/>
          <w:szCs w:val="32"/>
          <w14:textFill>
            <w14:solidFill>
              <w14:schemeClr w14:val="tx1"/>
            </w14:solidFill>
          </w14:textFill>
        </w:rPr>
        <w:t>硕士研究生</w:t>
      </w:r>
      <w:r>
        <w:rPr>
          <w:rFonts w:ascii="仿宋" w:hAnsi="仿宋" w:eastAsia="仿宋"/>
          <w:color w:val="000000" w:themeColor="text1"/>
          <w:spacing w:val="4"/>
          <w:kern w:val="10"/>
          <w:sz w:val="32"/>
          <w:szCs w:val="32"/>
          <w14:textFill>
            <w14:solidFill>
              <w14:schemeClr w14:val="tx1"/>
            </w14:solidFill>
          </w14:textFill>
        </w:rPr>
        <w:t>范围</w:t>
      </w:r>
      <w:r>
        <w:rPr>
          <w:rFonts w:hint="eastAsia" w:ascii="仿宋" w:hAnsi="仿宋" w:eastAsia="仿宋"/>
          <w:color w:val="000000" w:themeColor="text1"/>
          <w:spacing w:val="4"/>
          <w:kern w:val="10"/>
          <w:sz w:val="32"/>
          <w:szCs w:val="32"/>
          <w14:textFill>
            <w14:solidFill>
              <w14:schemeClr w14:val="tx1"/>
            </w14:solidFill>
          </w14:textFill>
        </w:rPr>
        <w:t>为校本部2</w:t>
      </w:r>
      <w:r>
        <w:rPr>
          <w:rFonts w:ascii="仿宋" w:hAnsi="仿宋" w:eastAsia="仿宋"/>
          <w:color w:val="000000" w:themeColor="text1"/>
          <w:spacing w:val="4"/>
          <w:kern w:val="10"/>
          <w:sz w:val="32"/>
          <w:szCs w:val="32"/>
          <w14:textFill>
            <w14:solidFill>
              <w14:schemeClr w14:val="tx1"/>
            </w14:solidFill>
          </w14:textFill>
        </w:rPr>
        <w:t>02</w:t>
      </w:r>
      <w:r>
        <w:rPr>
          <w:rFonts w:hint="eastAsia" w:ascii="仿宋" w:hAnsi="仿宋" w:eastAsia="仿宋"/>
          <w:color w:val="000000" w:themeColor="text1"/>
          <w:spacing w:val="4"/>
          <w:kern w:val="10"/>
          <w:sz w:val="32"/>
          <w:szCs w:val="32"/>
          <w:lang w:val="en-US" w:eastAsia="zh-CN"/>
          <w14:textFill>
            <w14:solidFill>
              <w14:schemeClr w14:val="tx1"/>
            </w14:solidFill>
          </w14:textFill>
        </w:rPr>
        <w:t>1</w:t>
      </w:r>
      <w:r>
        <w:rPr>
          <w:rFonts w:hint="eastAsia" w:ascii="仿宋" w:hAnsi="仿宋" w:eastAsia="仿宋"/>
          <w:color w:val="000000" w:themeColor="text1"/>
          <w:spacing w:val="4"/>
          <w:kern w:val="10"/>
          <w:sz w:val="32"/>
          <w:szCs w:val="32"/>
          <w14:textFill>
            <w14:solidFill>
              <w14:schemeClr w14:val="tx1"/>
            </w14:solidFill>
          </w14:textFill>
        </w:rPr>
        <w:t>级全日制非定向就业类硕士研究生（有协议规定的，执行协议政策）、定向就业类中的“少数民族高层次骨干人才计划”、“高层次人才强军计划”</w:t>
      </w:r>
      <w:r>
        <w:rPr>
          <w:rFonts w:ascii="仿宋" w:hAnsi="仿宋" w:eastAsia="仿宋"/>
          <w:color w:val="000000" w:themeColor="text1"/>
          <w:sz w:val="32"/>
          <w:szCs w:val="32"/>
          <w14:textFill>
            <w14:solidFill>
              <w14:schemeClr w14:val="tx1"/>
            </w14:solidFill>
          </w14:textFill>
        </w:rPr>
        <w:t>。</w:t>
      </w:r>
    </w:p>
    <w:p>
      <w:pPr>
        <w:adjustRightInd w:val="0"/>
        <w:snapToGrid w:val="0"/>
        <w:spacing w:line="288" w:lineRule="auto"/>
        <w:ind w:firstLine="720" w:firstLineChars="225"/>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.研究生无违纪行为</w:t>
      </w:r>
    </w:p>
    <w:p>
      <w:pPr>
        <w:adjustRightInd w:val="0"/>
        <w:snapToGrid w:val="0"/>
        <w:spacing w:line="288" w:lineRule="auto"/>
        <w:ind w:firstLine="723" w:firstLineChars="225"/>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三、硕士研究生学业奖学金设置方案：</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等级</w:t>
            </w:r>
          </w:p>
        </w:tc>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占应参评学生总数的百分比</w:t>
            </w:r>
          </w:p>
        </w:tc>
        <w:tc>
          <w:tcPr>
            <w:tcW w:w="2766"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学业奖学金（元）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一等</w:t>
            </w:r>
          </w:p>
        </w:tc>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p>
        </w:tc>
        <w:tc>
          <w:tcPr>
            <w:tcW w:w="2766"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二等</w:t>
            </w:r>
          </w:p>
        </w:tc>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p>
        </w:tc>
        <w:tc>
          <w:tcPr>
            <w:tcW w:w="2766"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三等</w:t>
            </w:r>
          </w:p>
        </w:tc>
        <w:tc>
          <w:tcPr>
            <w:tcW w:w="2765"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p>
        </w:tc>
        <w:tc>
          <w:tcPr>
            <w:tcW w:w="2766" w:type="dxa"/>
          </w:tcPr>
          <w:p>
            <w:pPr>
              <w:adjustRightInd w:val="0"/>
              <w:snapToGrid w:val="0"/>
              <w:spacing w:line="288"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000</w:t>
            </w:r>
          </w:p>
        </w:tc>
      </w:tr>
    </w:tbl>
    <w:p>
      <w:pPr>
        <w:adjustRightInd w:val="0"/>
        <w:snapToGrid w:val="0"/>
        <w:spacing w:line="288" w:lineRule="auto"/>
        <w:ind w:firstLine="720" w:firstLineChars="225"/>
        <w:rPr>
          <w:rFonts w:ascii="仿宋" w:hAnsi="仿宋" w:eastAsia="仿宋"/>
          <w:color w:val="000000" w:themeColor="text1"/>
          <w:sz w:val="32"/>
          <w:szCs w:val="32"/>
          <w14:textFill>
            <w14:solidFill>
              <w14:schemeClr w14:val="tx1"/>
            </w14:solidFill>
          </w14:textFill>
        </w:rPr>
      </w:pPr>
    </w:p>
    <w:p>
      <w:pPr>
        <w:adjustRightInd w:val="0"/>
        <w:snapToGrid w:val="0"/>
        <w:spacing w:line="288" w:lineRule="auto"/>
        <w:ind w:firstLine="732" w:firstLineChars="225"/>
        <w:rPr>
          <w:rFonts w:ascii="仿宋" w:hAnsi="仿宋" w:eastAsia="仿宋"/>
          <w:color w:val="000000" w:themeColor="text1"/>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四、硕士研究生学业奖学金评定细则</w:t>
      </w:r>
    </w:p>
    <w:p>
      <w:pPr>
        <w:spacing w:line="380" w:lineRule="exact"/>
        <w:ind w:firstLine="723" w:firstLineChars="225"/>
        <w:rPr>
          <w:rFonts w:ascii="仿宋" w:hAnsi="仿宋" w:eastAsia="仿宋"/>
          <w:b/>
          <w:color w:val="000000" w:themeColor="text1"/>
          <w:sz w:val="32"/>
          <w:szCs w:val="32"/>
          <w:u w:val="single"/>
          <w14:textFill>
            <w14:solidFill>
              <w14:schemeClr w14:val="tx1"/>
            </w14:solidFill>
          </w14:textFill>
        </w:rPr>
      </w:pPr>
      <w:r>
        <w:rPr>
          <w:rFonts w:ascii="仿宋" w:hAnsi="仿宋" w:eastAsia="仿宋"/>
          <w:b/>
          <w:color w:val="000000" w:themeColor="text1"/>
          <w:sz w:val="32"/>
          <w:szCs w:val="32"/>
          <w:u w:val="single"/>
          <w14:textFill>
            <w14:solidFill>
              <w14:schemeClr w14:val="tx1"/>
            </w14:solidFill>
          </w14:textFill>
        </w:rPr>
        <w:t>总分</w:t>
      </w:r>
      <w:r>
        <w:rPr>
          <w:rFonts w:hint="eastAsia" w:ascii="仿宋" w:hAnsi="仿宋" w:eastAsia="仿宋"/>
          <w:b/>
          <w:color w:val="000000" w:themeColor="text1"/>
          <w:sz w:val="32"/>
          <w:szCs w:val="32"/>
          <w:u w:val="single"/>
          <w14:textFill>
            <w14:solidFill>
              <w14:schemeClr w14:val="tx1"/>
            </w14:solidFill>
          </w14:textFill>
        </w:rPr>
        <w:t>构成</w:t>
      </w:r>
      <w:r>
        <w:rPr>
          <w:rFonts w:ascii="仿宋" w:hAnsi="仿宋" w:eastAsia="仿宋"/>
          <w:b/>
          <w:color w:val="000000" w:themeColor="text1"/>
          <w:sz w:val="32"/>
          <w:szCs w:val="32"/>
          <w:u w:val="single"/>
          <w14:textFill>
            <w14:solidFill>
              <w14:schemeClr w14:val="tx1"/>
            </w14:solidFill>
          </w14:textFill>
        </w:rPr>
        <w:t>＝课程成绩分</w:t>
      </w:r>
      <w:r>
        <w:rPr>
          <w:rFonts w:hint="eastAsia" w:ascii="仿宋" w:hAnsi="仿宋" w:eastAsia="仿宋"/>
          <w:b/>
          <w:color w:val="000000" w:themeColor="text1"/>
          <w:sz w:val="32"/>
          <w:szCs w:val="32"/>
          <w:u w:val="single"/>
          <w14:textFill>
            <w14:solidFill>
              <w14:schemeClr w14:val="tx1"/>
            </w14:solidFill>
          </w14:textFill>
        </w:rPr>
        <w:t>（60%）</w:t>
      </w:r>
      <w:r>
        <w:rPr>
          <w:rFonts w:ascii="仿宋" w:hAnsi="仿宋" w:eastAsia="仿宋"/>
          <w:b/>
          <w:color w:val="000000" w:themeColor="text1"/>
          <w:sz w:val="32"/>
          <w:szCs w:val="32"/>
          <w:u w:val="single"/>
          <w14:textFill>
            <w14:solidFill>
              <w14:schemeClr w14:val="tx1"/>
            </w14:solidFill>
          </w14:textFill>
        </w:rPr>
        <w:t>+</w:t>
      </w:r>
      <w:r>
        <w:rPr>
          <w:rFonts w:hint="eastAsia" w:ascii="仿宋" w:hAnsi="仿宋" w:eastAsia="仿宋"/>
          <w:b/>
          <w:color w:val="000000" w:themeColor="text1"/>
          <w:sz w:val="32"/>
          <w:szCs w:val="32"/>
          <w:u w:val="single"/>
          <w14:textFill>
            <w14:solidFill>
              <w14:schemeClr w14:val="tx1"/>
            </w14:solidFill>
          </w14:textFill>
        </w:rPr>
        <w:t>论文开题成绩与科研综合表现（33%）+导师评价（2%）+德育加分（5%）</w:t>
      </w:r>
    </w:p>
    <w:p>
      <w:pPr>
        <w:spacing w:line="380" w:lineRule="exact"/>
        <w:ind w:firstLine="723" w:firstLineChars="22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说明：外语成绩不计入奖学金评定</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w:t>
      </w:r>
      <w:r>
        <w:rPr>
          <w:rFonts w:ascii="仿宋" w:hAnsi="仿宋" w:eastAsia="仿宋"/>
          <w:b/>
          <w:color w:val="000000" w:themeColor="text1"/>
          <w:sz w:val="32"/>
          <w:szCs w:val="32"/>
          <w14:textFill>
            <w14:solidFill>
              <w14:schemeClr w14:val="tx1"/>
            </w14:solidFill>
          </w14:textFill>
        </w:rPr>
        <w:t>课程成绩分</w:t>
      </w:r>
      <w:r>
        <w:rPr>
          <w:rFonts w:hint="eastAsia" w:ascii="仿宋" w:hAnsi="仿宋" w:eastAsia="仿宋"/>
          <w:b/>
          <w:color w:val="000000" w:themeColor="text1"/>
          <w:sz w:val="32"/>
          <w:szCs w:val="32"/>
          <w14:textFill>
            <w14:solidFill>
              <w14:schemeClr w14:val="tx1"/>
            </w14:solidFill>
          </w14:textFill>
        </w:rPr>
        <w:t>以研究生管理系统计算后的成绩为准，满分60分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筛选成绩的计算方法（见《研究生手册》）。</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（二）论文开题成绩，满分</w:t>
      </w:r>
      <w:r>
        <w:rPr>
          <w:rFonts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分，具体如下</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1、开题成绩优秀：1</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--20分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2、开题成绩良好：1</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--17分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3、开题成绩中等：1</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--14分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4、开题成绩及格：12分</w:t>
      </w:r>
    </w:p>
    <w:p>
      <w:pPr>
        <w:spacing w:line="380" w:lineRule="exact"/>
        <w:ind w:firstLine="46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5、开题成绩不及格：11分以下，不允许参评</w:t>
      </w:r>
    </w:p>
    <w:p>
      <w:pPr>
        <w:widowControl/>
        <w:spacing w:line="4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开题成绩所占分值，按照各硕士点开题后上报给研究生院的成绩为准。</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（三）科研综合表现，满分13分（下述4项得分可累计，但最高得分不超过13分）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1、论文类（每篇）分值计算方法：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被</w:t>
      </w:r>
      <w:r>
        <w:rPr>
          <w:rFonts w:ascii="仿宋" w:hAnsi="仿宋" w:eastAsia="仿宋"/>
          <w:color w:val="000000" w:themeColor="text1"/>
          <w:sz w:val="32"/>
          <w:szCs w:val="32"/>
          <w14:textFill>
            <w14:solidFill>
              <w14:schemeClr w14:val="tx1"/>
            </w14:solidFill>
          </w14:textFill>
        </w:rPr>
        <w:t>SCI</w:t>
      </w:r>
      <w:r>
        <w:rPr>
          <w:rFonts w:hint="eastAsia" w:ascii="仿宋" w:hAnsi="仿宋" w:eastAsia="仿宋"/>
          <w:color w:val="000000" w:themeColor="text1"/>
          <w:sz w:val="32"/>
          <w:szCs w:val="32"/>
          <w14:textFill>
            <w14:solidFill>
              <w14:schemeClr w14:val="tx1"/>
            </w14:solidFill>
          </w14:textFill>
        </w:rPr>
        <w:t>、SSCI、EI检索的期刊论文和国内一级学术期刊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以学校科研部门确认期刊目录为准</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上发表的论文，分值为13；</w:t>
      </w:r>
      <w:r>
        <w:rPr>
          <w:rFonts w:ascii="仿宋" w:hAnsi="仿宋" w:eastAsia="仿宋"/>
          <w:color w:val="000000" w:themeColor="text1"/>
          <w:sz w:val="32"/>
          <w:szCs w:val="32"/>
          <w14:textFill>
            <w14:solidFill>
              <w14:schemeClr w14:val="tx1"/>
            </w14:solidFill>
          </w14:textFill>
        </w:rPr>
        <w:t xml:space="preserve">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（2）在CSSCI刊源（含扩展版\学校奖励）上发表的论文和被SCI、SSCI检索的会议论文，分值为8；</w:t>
      </w:r>
      <w:r>
        <w:rPr>
          <w:rFonts w:ascii="仿宋" w:hAnsi="仿宋" w:eastAsia="仿宋"/>
          <w:color w:val="000000" w:themeColor="text1"/>
          <w:sz w:val="32"/>
          <w:szCs w:val="32"/>
          <w14:textFill>
            <w14:solidFill>
              <w14:schemeClr w14:val="tx1"/>
            </w14:solidFill>
          </w14:textFill>
        </w:rPr>
        <w:t xml:space="preserve">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国内核心期刊论文（以图书馆认定为准）分值为5，ISTP检索及其他国际会议论文分值为3；</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其他非核心学术期刊论文分值以该学术期刊“复合影响因子”（以“中国知网”公布的当年最新数据为准），计算方法为“1+该学术期刊的复合影响因子”。无“复合影响因子”的期刊论文不做计算，不作为发表论文的科研成果。</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国内国家级学术会议录用论文分值为3，省级学术会议录用论文分值为2，校级学术会议录用论文分值为1（同一会议只按一篇论文计算）。</w:t>
      </w:r>
    </w:p>
    <w:p>
      <w:pPr>
        <w:spacing w:line="38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注：a、学生独立发表，获取相应级别论文分值的100%；</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b、2人合作发表：学生为第一作者（含教师为第一作者，学生第二作者按第一作者计算）；按相应级别论文分值6：4计算获取。</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c、3人合作发表：学生为第一作者（含教师为第一作者，学生第二作者按第一作者计算）；按相应级别论文分值5：3：2计算获取。</w:t>
      </w:r>
    </w:p>
    <w:p>
      <w:pPr>
        <w:spacing w:line="380" w:lineRule="exact"/>
        <w:ind w:firstLine="1285" w:firstLineChars="4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d、学生为第四作者及排名更靠后的不计算分数。</w:t>
      </w:r>
    </w:p>
    <w:p>
      <w:pPr>
        <w:spacing w:line="380" w:lineRule="exact"/>
        <w:ind w:firstLine="1285"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e、所发表论文必须为本专业相关论文。</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2、专著类（每部）的分值计算方法：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国家级出版社（以学校规定的为准）出版的专著，分值为13分； </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其他出版社出版的专著，分值为8分；</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教材、辅导材料，分值为5分。</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注：a、学生独著，获取相应级别专著分值的100%；</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b、2人合著：学生为第一作者（含教师为第一作者，学生第二作者按第一作者计算）；按相应级别论文分值6：4计算获取。</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c、3人合著：学生为第一作者（含教师为第一作者，学生第二作者按第一作者计算）；按相应级别论文分值5：3：2计算获取。</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d、学生排名第四及排名更靠后的按参编计算。参与著作编写并在著作中明确标明编写人，字数累计超过一万以上，分值为1分。</w:t>
      </w:r>
    </w:p>
    <w:p>
      <w:pPr>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e、所出版专著必须与本专业相关。</w:t>
      </w:r>
    </w:p>
    <w:p>
      <w:pPr>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3、大学生创业实践项目</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)、各级项目的分值计算方法：</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国家级项目，分值最高为13；</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省部级项目，分值最高为8；</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（2）、项目负责人排名第一名，占</w:t>
      </w:r>
      <w:r>
        <w:rPr>
          <w:rFonts w:ascii="仿宋" w:hAnsi="仿宋" w:eastAsia="仿宋"/>
          <w:color w:val="000000" w:themeColor="text1"/>
          <w:sz w:val="32"/>
          <w:szCs w:val="32"/>
          <w14:textFill>
            <w14:solidFill>
              <w14:schemeClr w14:val="tx1"/>
            </w14:solidFill>
          </w14:textFill>
        </w:rPr>
        <w:t>60%</w:t>
      </w:r>
      <w:r>
        <w:rPr>
          <w:rFonts w:hint="eastAsia" w:ascii="仿宋" w:hAnsi="仿宋" w:eastAsia="仿宋"/>
          <w:color w:val="000000" w:themeColor="text1"/>
          <w:sz w:val="32"/>
          <w:szCs w:val="32"/>
          <w14:textFill>
            <w14:solidFill>
              <w14:schemeClr w14:val="tx1"/>
            </w14:solidFill>
          </w14:textFill>
        </w:rPr>
        <w:t>。其他成员，按算术平均数分享</w:t>
      </w:r>
      <w:r>
        <w:rPr>
          <w:rFonts w:ascii="仿宋" w:hAnsi="仿宋" w:eastAsia="仿宋"/>
          <w:color w:val="000000" w:themeColor="text1"/>
          <w:sz w:val="32"/>
          <w:szCs w:val="32"/>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的权重。</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国家级项目排名取前6；</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省部级项目排名取前4；</w:t>
      </w:r>
    </w:p>
    <w:p>
      <w:pPr>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4、竞赛加分</w:t>
      </w:r>
    </w:p>
    <w:p>
      <w:pPr>
        <w:pStyle w:val="2"/>
        <w:snapToGrid w:val="0"/>
        <w:spacing w:line="380" w:lineRule="exact"/>
        <w:ind w:firstLine="470" w:firstLineChars="14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（1）、获得各种竞赛的分值计算方法：</w:t>
      </w:r>
    </w:p>
    <w:tbl>
      <w:tblPr>
        <w:tblStyle w:val="6"/>
        <w:tblW w:w="693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01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0" w:type="dxa"/>
            <w:vAlign w:val="center"/>
          </w:tcPr>
          <w:p>
            <w:pPr>
              <w:snapToGrid w:val="0"/>
              <w:spacing w:line="38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等级</w:t>
            </w:r>
          </w:p>
        </w:tc>
        <w:tc>
          <w:tcPr>
            <w:tcW w:w="2016" w:type="dxa"/>
            <w:vAlign w:val="center"/>
          </w:tcPr>
          <w:p>
            <w:pPr>
              <w:snapToGrid w:val="0"/>
              <w:spacing w:line="380" w:lineRule="exact"/>
              <w:ind w:firstLine="320" w:firstLineChars="1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国家级奖励</w:t>
            </w:r>
          </w:p>
        </w:tc>
        <w:tc>
          <w:tcPr>
            <w:tcW w:w="2396" w:type="dxa"/>
            <w:vAlign w:val="center"/>
          </w:tcPr>
          <w:p>
            <w:pPr>
              <w:snapToGrid w:val="0"/>
              <w:spacing w:line="38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省（市）部级单项奖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0" w:type="dxa"/>
            <w:vAlign w:val="center"/>
          </w:tcPr>
          <w:p>
            <w:pPr>
              <w:snapToGrid w:val="0"/>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分数（一、二、三等）</w:t>
            </w:r>
          </w:p>
        </w:tc>
        <w:tc>
          <w:tcPr>
            <w:tcW w:w="2016" w:type="dxa"/>
            <w:vAlign w:val="center"/>
          </w:tcPr>
          <w:p>
            <w:pPr>
              <w:snapToGrid w:val="0"/>
              <w:spacing w:line="3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13、8、</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w:t>
            </w:r>
          </w:p>
        </w:tc>
        <w:tc>
          <w:tcPr>
            <w:tcW w:w="2396" w:type="dxa"/>
            <w:vAlign w:val="center"/>
          </w:tcPr>
          <w:p>
            <w:pPr>
              <w:snapToGrid w:val="0"/>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6、4、2分</w:t>
            </w:r>
          </w:p>
        </w:tc>
      </w:tr>
    </w:tbl>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（2）、如涉及团队获奖，负责人排名第一名，占</w:t>
      </w:r>
      <w:r>
        <w:rPr>
          <w:rFonts w:ascii="仿宋" w:hAnsi="仿宋" w:eastAsia="仿宋"/>
          <w:color w:val="000000" w:themeColor="text1"/>
          <w:sz w:val="32"/>
          <w:szCs w:val="32"/>
          <w14:textFill>
            <w14:solidFill>
              <w14:schemeClr w14:val="tx1"/>
            </w14:solidFill>
          </w14:textFill>
        </w:rPr>
        <w:t>60%</w:t>
      </w:r>
      <w:r>
        <w:rPr>
          <w:rFonts w:hint="eastAsia" w:ascii="仿宋" w:hAnsi="仿宋" w:eastAsia="仿宋"/>
          <w:color w:val="000000" w:themeColor="text1"/>
          <w:sz w:val="32"/>
          <w:szCs w:val="32"/>
          <w14:textFill>
            <w14:solidFill>
              <w14:schemeClr w14:val="tx1"/>
            </w14:solidFill>
          </w14:textFill>
        </w:rPr>
        <w:t>。其他成员，按算术比例递减</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分享</w:t>
      </w:r>
      <w:r>
        <w:rPr>
          <w:rFonts w:ascii="仿宋" w:hAnsi="仿宋" w:eastAsia="仿宋"/>
          <w:color w:val="000000" w:themeColor="text1"/>
          <w:sz w:val="32"/>
          <w:szCs w:val="32"/>
          <w14:textFill>
            <w14:solidFill>
              <w14:schemeClr w14:val="tx1"/>
            </w14:solidFill>
          </w14:textFill>
        </w:rPr>
        <w:t>40%</w:t>
      </w:r>
      <w:r>
        <w:rPr>
          <w:rFonts w:hint="eastAsia" w:ascii="仿宋" w:hAnsi="仿宋" w:eastAsia="仿宋"/>
          <w:color w:val="000000" w:themeColor="text1"/>
          <w:sz w:val="32"/>
          <w:szCs w:val="32"/>
          <w14:textFill>
            <w14:solidFill>
              <w14:schemeClr w14:val="tx1"/>
            </w14:solidFill>
          </w14:textFill>
        </w:rPr>
        <w:t>的权重。</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国家级获奖排名取前6；</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（b</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省部级获奖排名取前4；</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（3）同一项目同时获得立项和奖项，取两者中最高分计入。</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注：</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1.以上论文和专著的出版发行时间以及各类获奖时间必须是硕士在读期间（硕士生入学之后——开题截止日之前）。</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2.以上一律以正式出版件为准。</w:t>
      </w: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3.以上论文、专著的作者，创业实践项目及竞赛的参加者，所属单位必须是哈尔滨工业大学。</w:t>
      </w:r>
    </w:p>
    <w:p>
      <w:pPr>
        <w:spacing w:line="380" w:lineRule="exact"/>
        <w:ind w:firstLine="480" w:firstLineChars="150"/>
        <w:rPr>
          <w:rFonts w:ascii="仿宋" w:hAnsi="仿宋" w:eastAsia="仿宋"/>
          <w:color w:val="000000" w:themeColor="text1"/>
          <w:sz w:val="32"/>
          <w:szCs w:val="32"/>
          <w14:textFill>
            <w14:solidFill>
              <w14:schemeClr w14:val="tx1"/>
            </w14:solidFill>
          </w14:textFill>
        </w:rPr>
      </w:pPr>
    </w:p>
    <w:p>
      <w:pPr>
        <w:spacing w:line="38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（四）导师评价加分,满分2分</w:t>
      </w:r>
    </w:p>
    <w:p>
      <w:pPr>
        <w:spacing w:line="380" w:lineRule="exact"/>
        <w:ind w:firstLine="321"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导师评价加分，按照导师所给分值并经各系主任签字确认后为准。</w:t>
      </w:r>
    </w:p>
    <w:p>
      <w:pPr>
        <w:spacing w:line="38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（五）德育加分,满分</w:t>
      </w:r>
      <w:r>
        <w:rPr>
          <w:rFonts w:ascii="仿宋" w:hAnsi="仿宋" w:eastAsia="仿宋"/>
          <w:b/>
          <w:bCs/>
          <w:color w:val="000000" w:themeColor="text1"/>
          <w:sz w:val="32"/>
          <w:szCs w:val="32"/>
          <w14:textFill>
            <w14:solidFill>
              <w14:schemeClr w14:val="tx1"/>
            </w14:solidFill>
          </w14:textFill>
        </w:rPr>
        <w:t>5</w:t>
      </w:r>
      <w:r>
        <w:rPr>
          <w:rFonts w:hint="eastAsia" w:ascii="仿宋" w:hAnsi="仿宋" w:eastAsia="仿宋"/>
          <w:b/>
          <w:bCs/>
          <w:color w:val="000000" w:themeColor="text1"/>
          <w:sz w:val="32"/>
          <w:szCs w:val="32"/>
          <w14:textFill>
            <w14:solidFill>
              <w14:schemeClr w14:val="tx1"/>
            </w14:solidFill>
          </w14:textFill>
        </w:rPr>
        <w:t>分</w:t>
      </w:r>
    </w:p>
    <w:p>
      <w:pPr>
        <w:spacing w:line="380" w:lineRule="exact"/>
        <w:ind w:firstLine="643" w:firstLineChars="200"/>
        <w:rPr>
          <w:rFonts w:ascii="仿宋" w:hAnsi="仿宋" w:eastAsia="仿宋"/>
          <w:b/>
          <w:bCs/>
          <w:color w:val="000000" w:themeColor="text1"/>
          <w:sz w:val="32"/>
          <w:szCs w:val="32"/>
          <w14:textFill>
            <w14:solidFill>
              <w14:schemeClr w14:val="tx1"/>
            </w14:solidFill>
          </w14:textFill>
        </w:rPr>
      </w:pPr>
    </w:p>
    <w:p>
      <w:pPr>
        <w:adjustRightInd w:val="0"/>
        <w:snapToGrid w:val="0"/>
        <w:spacing w:line="380" w:lineRule="exact"/>
        <w:ind w:firstLine="643"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基础评价（满分3分）</w:t>
      </w:r>
    </w:p>
    <w:p>
      <w:pPr>
        <w:adjustRightInd w:val="0"/>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基础评价包括基础表现评价和学院公共（公益）活动奖励计划两部分。基础表现评价是对申报人的思想道德、文化素养、身心健康、业务素质、社会实践等方面的综合评价。采取学工评价和学生互评等方式。</w:t>
      </w:r>
    </w:p>
    <w:p>
      <w:pPr>
        <w:adjustRightInd w:val="0"/>
        <w:snapToGrid w:val="0"/>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为鼓励我院学生多参加学院公共与公益活动，特设置学院公共（公益）活动奖励计划。</w:t>
      </w:r>
      <w:r>
        <w:rPr>
          <w:rFonts w:hint="eastAsia" w:ascii="仿宋" w:hAnsi="仿宋" w:eastAsia="仿宋"/>
          <w:color w:val="000000" w:themeColor="text1"/>
          <w:sz w:val="32"/>
          <w:szCs w:val="32"/>
          <w14:textFill>
            <w14:solidFill>
              <w14:schemeClr w14:val="tx1"/>
            </w14:solidFill>
          </w14:textFill>
        </w:rPr>
        <w:t>对参加“政青春”学生宣讲团宣讲，根据宣讲次数和效果给予加分奖励（最高为1分）；对参加学院各种公共活动与公益活动的，根据活动效果给予加分，采取个人申报、学工评价和学生互评等方式（最高分为1分）。</w:t>
      </w:r>
    </w:p>
    <w:p>
      <w:pPr>
        <w:adjustRightInd w:val="0"/>
        <w:snapToGrid w:val="0"/>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以上各项奖励可合并计分，总分不超过</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w:t>
      </w:r>
    </w:p>
    <w:p>
      <w:pPr>
        <w:adjustRightInd w:val="0"/>
        <w:snapToGrid w:val="0"/>
        <w:spacing w:line="380" w:lineRule="exact"/>
        <w:ind w:firstLine="480"/>
        <w:rPr>
          <w:rFonts w:ascii="仿宋" w:hAnsi="仿宋" w:eastAsia="仿宋"/>
          <w:sz w:val="24"/>
          <w:szCs w:val="24"/>
        </w:rPr>
      </w:pPr>
    </w:p>
    <w:p>
      <w:pPr>
        <w:adjustRightInd w:val="0"/>
        <w:snapToGrid w:val="0"/>
        <w:spacing w:line="38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德育奖励及特殊表现（满分2分）</w:t>
      </w:r>
    </w:p>
    <w:p>
      <w:pPr>
        <w:adjustRightInd w:val="0"/>
        <w:snapToGrid w:val="0"/>
        <w:spacing w:line="380" w:lineRule="exact"/>
        <w:ind w:firstLine="480"/>
        <w:rPr>
          <w:rFonts w:ascii="仿宋" w:hAnsi="仿宋" w:eastAsia="仿宋"/>
          <w:sz w:val="32"/>
          <w:szCs w:val="32"/>
        </w:rPr>
      </w:pPr>
      <w:r>
        <w:rPr>
          <w:rFonts w:hint="eastAsia" w:ascii="仿宋" w:hAnsi="仿宋" w:eastAsia="仿宋"/>
          <w:sz w:val="32"/>
          <w:szCs w:val="32"/>
        </w:rPr>
        <w:t>德育奖励是指研究生在本学历期间获得的由学校组织部、研究生工作部、学生工作部、团委以及省级及以上教育主管部门组织评选认定的德育表现方面的荣誉。按照学校统一要求对获得校级及以上荣誉的研究生进行加分，取荣誉对应分值最高项目加分，各项目得分不累加，分为2分（国家级个人、集体荣誉奖励，省级个人荣誉奖励标兵）、1.75分（省级个人荣誉奖励、校级个人荣誉奖励标兵、省级集体荣誉奖励标兵）、1.5分（校级个人荣誉奖励、省级集体荣誉奖励、校级集体荣誉奖励标兵）、1分（校级集体荣誉奖励）四个档次，常见德育奖励加分项目如下：</w:t>
      </w:r>
    </w:p>
    <w:tbl>
      <w:tblPr>
        <w:tblStyle w:val="6"/>
        <w:tblW w:w="9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031" w:type="dxa"/>
            <w:vAlign w:val="center"/>
          </w:tcPr>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分值</w:t>
            </w:r>
          </w:p>
        </w:tc>
        <w:tc>
          <w:tcPr>
            <w:tcW w:w="8101" w:type="dxa"/>
            <w:vAlign w:val="center"/>
          </w:tcPr>
          <w:p>
            <w:pPr>
              <w:adjustRightInd w:val="0"/>
              <w:snapToGrid w:val="0"/>
              <w:spacing w:line="360" w:lineRule="auto"/>
              <w:ind w:firstLine="480"/>
              <w:jc w:val="center"/>
              <w:rPr>
                <w:rFonts w:ascii="仿宋" w:hAnsi="仿宋" w:eastAsia="仿宋"/>
                <w:b/>
                <w:sz w:val="32"/>
                <w:szCs w:val="32"/>
              </w:rPr>
            </w:pPr>
            <w:r>
              <w:rPr>
                <w:rFonts w:hint="eastAsia" w:ascii="仿宋" w:hAnsi="仿宋" w:eastAsia="仿宋"/>
                <w:b/>
                <w:sz w:val="32"/>
                <w:szCs w:val="32"/>
              </w:rPr>
              <w:t>常见</w:t>
            </w:r>
            <w:r>
              <w:rPr>
                <w:rFonts w:ascii="仿宋" w:hAnsi="仿宋" w:eastAsia="仿宋"/>
                <w:b/>
                <w:sz w:val="32"/>
                <w:szCs w:val="32"/>
              </w:rPr>
              <w:t>德育奖励加分</w:t>
            </w:r>
            <w:r>
              <w:rPr>
                <w:rFonts w:hint="eastAsia" w:ascii="仿宋" w:hAnsi="仿宋" w:eastAsia="仿宋"/>
                <w:b/>
                <w:sz w:val="32"/>
                <w:szCs w:val="3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jc w:val="center"/>
        </w:trPr>
        <w:tc>
          <w:tcPr>
            <w:tcW w:w="1031" w:type="dxa"/>
            <w:vAlign w:val="center"/>
          </w:tcPr>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2分</w:t>
            </w:r>
          </w:p>
        </w:tc>
        <w:tc>
          <w:tcPr>
            <w:tcW w:w="8101" w:type="dxa"/>
          </w:tcPr>
          <w:p>
            <w:pPr>
              <w:adjustRightInd w:val="0"/>
              <w:snapToGrid w:val="0"/>
              <w:spacing w:line="360" w:lineRule="auto"/>
              <w:rPr>
                <w:rFonts w:ascii="仿宋" w:hAnsi="仿宋" w:eastAsia="仿宋"/>
                <w:sz w:val="32"/>
                <w:szCs w:val="32"/>
              </w:rPr>
            </w:pPr>
            <w:r>
              <w:rPr>
                <w:rFonts w:hint="eastAsia" w:ascii="仿宋" w:hAnsi="仿宋" w:eastAsia="仿宋"/>
                <w:b/>
                <w:sz w:val="32"/>
                <w:szCs w:val="32"/>
              </w:rPr>
              <w:t>国家级个人、集体荣誉奖励：</w:t>
            </w:r>
            <w:r>
              <w:rPr>
                <w:rFonts w:hint="eastAsia" w:ascii="仿宋" w:hAnsi="仿宋" w:eastAsia="仿宋"/>
                <w:sz w:val="32"/>
                <w:szCs w:val="32"/>
              </w:rPr>
              <w:t>暂空</w:t>
            </w:r>
          </w:p>
          <w:p>
            <w:pPr>
              <w:adjustRightInd w:val="0"/>
              <w:snapToGrid w:val="0"/>
              <w:spacing w:line="360" w:lineRule="auto"/>
              <w:rPr>
                <w:rFonts w:ascii="仿宋" w:hAnsi="仿宋" w:eastAsia="仿宋"/>
                <w:sz w:val="32"/>
                <w:szCs w:val="32"/>
              </w:rPr>
            </w:pPr>
            <w:r>
              <w:rPr>
                <w:rFonts w:hint="eastAsia" w:ascii="仿宋" w:hAnsi="仿宋" w:eastAsia="仿宋"/>
                <w:b/>
                <w:sz w:val="32"/>
                <w:szCs w:val="32"/>
              </w:rPr>
              <w:t>省级个人荣誉奖励标兵：</w:t>
            </w:r>
            <w:r>
              <w:rPr>
                <w:rFonts w:hint="eastAsia" w:ascii="仿宋" w:hAnsi="仿宋" w:eastAsia="仿宋"/>
                <w:sz w:val="32"/>
                <w:szCs w:val="32"/>
              </w:rPr>
              <w:t>省大学生年度人物、</w:t>
            </w:r>
            <w:r>
              <w:rPr>
                <w:rFonts w:ascii="仿宋" w:hAnsi="仿宋" w:eastAsia="仿宋"/>
                <w:sz w:val="32"/>
                <w:szCs w:val="32"/>
              </w:rPr>
              <w:t>自强之星</w:t>
            </w:r>
            <w:r>
              <w:rPr>
                <w:rFonts w:hint="eastAsia" w:ascii="仿宋" w:hAnsi="仿宋" w:eastAsia="仿宋"/>
                <w:sz w:val="32"/>
                <w:szCs w:val="32"/>
              </w:rPr>
              <w:t>、</w:t>
            </w:r>
            <w:r>
              <w:rPr>
                <w:rFonts w:ascii="仿宋" w:hAnsi="仿宋" w:eastAsia="仿宋"/>
                <w:sz w:val="32"/>
                <w:szCs w:val="32"/>
              </w:rPr>
              <w:t>优秀共产党员、</w:t>
            </w:r>
            <w:r>
              <w:rPr>
                <w:rFonts w:hint="eastAsia" w:ascii="仿宋" w:hAnsi="仿宋" w:eastAsia="仿宋"/>
                <w:sz w:val="32"/>
                <w:szCs w:val="32"/>
              </w:rPr>
              <w:t>道德模范人物等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2" w:hRule="atLeast"/>
          <w:jc w:val="center"/>
        </w:trPr>
        <w:tc>
          <w:tcPr>
            <w:tcW w:w="1031" w:type="dxa"/>
            <w:vAlign w:val="center"/>
          </w:tcPr>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1.75分</w:t>
            </w:r>
          </w:p>
        </w:tc>
        <w:tc>
          <w:tcPr>
            <w:tcW w:w="8101" w:type="dxa"/>
          </w:tcPr>
          <w:p>
            <w:pPr>
              <w:adjustRightInd w:val="0"/>
              <w:snapToGrid w:val="0"/>
              <w:spacing w:line="360" w:lineRule="auto"/>
              <w:rPr>
                <w:rFonts w:ascii="仿宋" w:hAnsi="仿宋" w:eastAsia="仿宋"/>
                <w:sz w:val="32"/>
                <w:szCs w:val="32"/>
              </w:rPr>
            </w:pPr>
            <w:r>
              <w:rPr>
                <w:rFonts w:hint="eastAsia" w:ascii="仿宋" w:hAnsi="仿宋" w:eastAsia="仿宋"/>
                <w:b/>
                <w:sz w:val="32"/>
                <w:szCs w:val="32"/>
              </w:rPr>
              <w:t>省级个人荣誉奖励</w:t>
            </w:r>
            <w:r>
              <w:rPr>
                <w:rFonts w:hint="eastAsia" w:ascii="仿宋" w:hAnsi="仿宋" w:eastAsia="仿宋"/>
                <w:sz w:val="32"/>
                <w:szCs w:val="32"/>
              </w:rPr>
              <w:t>：省大学生年度人物提名、</w:t>
            </w:r>
            <w:r>
              <w:rPr>
                <w:rFonts w:ascii="仿宋" w:hAnsi="仿宋" w:eastAsia="仿宋"/>
                <w:sz w:val="32"/>
                <w:szCs w:val="32"/>
              </w:rPr>
              <w:t>自强之星</w:t>
            </w:r>
            <w:r>
              <w:rPr>
                <w:rFonts w:hint="eastAsia" w:ascii="仿宋" w:hAnsi="仿宋" w:eastAsia="仿宋"/>
                <w:sz w:val="32"/>
                <w:szCs w:val="32"/>
              </w:rPr>
              <w:t>提名</w:t>
            </w:r>
            <w:r>
              <w:rPr>
                <w:rFonts w:ascii="仿宋" w:hAnsi="仿宋" w:eastAsia="仿宋"/>
                <w:sz w:val="32"/>
                <w:szCs w:val="32"/>
              </w:rPr>
              <w:t>、</w:t>
            </w:r>
            <w:r>
              <w:rPr>
                <w:rFonts w:hint="eastAsia" w:ascii="仿宋" w:hAnsi="仿宋" w:eastAsia="仿宋"/>
                <w:sz w:val="32"/>
                <w:szCs w:val="32"/>
              </w:rPr>
              <w:t>道德模范人物提名、省</w:t>
            </w:r>
            <w:r>
              <w:rPr>
                <w:rFonts w:ascii="仿宋" w:hAnsi="仿宋" w:eastAsia="仿宋"/>
                <w:sz w:val="32"/>
                <w:szCs w:val="32"/>
              </w:rPr>
              <w:t>三好学生等</w:t>
            </w:r>
          </w:p>
          <w:p>
            <w:pPr>
              <w:adjustRightInd w:val="0"/>
              <w:snapToGrid w:val="0"/>
              <w:spacing w:line="360" w:lineRule="auto"/>
              <w:rPr>
                <w:rFonts w:ascii="仿宋" w:hAnsi="仿宋" w:eastAsia="仿宋"/>
                <w:sz w:val="32"/>
                <w:szCs w:val="32"/>
              </w:rPr>
            </w:pPr>
            <w:r>
              <w:rPr>
                <w:rFonts w:hint="eastAsia" w:ascii="仿宋" w:hAnsi="仿宋" w:eastAsia="仿宋"/>
                <w:b/>
                <w:sz w:val="32"/>
                <w:szCs w:val="32"/>
              </w:rPr>
              <w:t>校级个人荣誉奖励标兵</w:t>
            </w:r>
            <w:r>
              <w:rPr>
                <w:rFonts w:hint="eastAsia" w:ascii="仿宋" w:hAnsi="仿宋" w:eastAsia="仿宋"/>
                <w:sz w:val="32"/>
                <w:szCs w:val="32"/>
              </w:rPr>
              <w:t>：校优秀团员标兵、优秀团干标兵、</w:t>
            </w:r>
            <w:r>
              <w:rPr>
                <w:rFonts w:hint="eastAsia" w:ascii="仿宋" w:hAnsi="仿宋" w:eastAsia="仿宋"/>
                <w:color w:val="auto"/>
                <w:sz w:val="32"/>
                <w:szCs w:val="32"/>
                <w:lang w:val="en-US" w:eastAsia="zh-CN"/>
              </w:rPr>
              <w:t>优秀</w:t>
            </w:r>
            <w:r>
              <w:rPr>
                <w:rFonts w:hint="eastAsia" w:ascii="仿宋" w:hAnsi="仿宋" w:eastAsia="仿宋"/>
                <w:color w:val="auto"/>
                <w:sz w:val="32"/>
                <w:szCs w:val="32"/>
              </w:rPr>
              <w:t>学生标兵、优秀</w:t>
            </w:r>
            <w:r>
              <w:rPr>
                <w:rFonts w:hint="eastAsia" w:ascii="仿宋" w:hAnsi="仿宋" w:eastAsia="仿宋"/>
                <w:color w:val="auto"/>
                <w:sz w:val="32"/>
                <w:szCs w:val="32"/>
                <w:lang w:val="en-US" w:eastAsia="zh-CN"/>
              </w:rPr>
              <w:t>学生干部</w:t>
            </w:r>
            <w:r>
              <w:rPr>
                <w:rFonts w:hint="eastAsia" w:ascii="仿宋" w:hAnsi="仿宋" w:eastAsia="仿宋"/>
                <w:color w:val="auto"/>
                <w:sz w:val="32"/>
                <w:szCs w:val="32"/>
              </w:rPr>
              <w:t>标兵</w:t>
            </w:r>
            <w:r>
              <w:rPr>
                <w:rFonts w:hint="eastAsia" w:ascii="仿宋" w:hAnsi="仿宋" w:eastAsia="仿宋"/>
                <w:sz w:val="32"/>
                <w:szCs w:val="32"/>
              </w:rPr>
              <w:t>、优秀共产党员“十佳”、研究生“</w:t>
            </w:r>
            <w:r>
              <w:rPr>
                <w:rFonts w:ascii="仿宋" w:hAnsi="仿宋" w:eastAsia="仿宋"/>
                <w:sz w:val="32"/>
                <w:szCs w:val="32"/>
              </w:rPr>
              <w:t>十佳英才</w:t>
            </w:r>
            <w:r>
              <w:rPr>
                <w:rFonts w:hint="eastAsia" w:ascii="仿宋" w:hAnsi="仿宋" w:eastAsia="仿宋"/>
                <w:sz w:val="32"/>
                <w:szCs w:val="32"/>
              </w:rPr>
              <w:t>”、研究生“十佳”党支部书记、“五四”奖章等</w:t>
            </w:r>
          </w:p>
          <w:p>
            <w:pPr>
              <w:adjustRightInd w:val="0"/>
              <w:snapToGrid w:val="0"/>
              <w:spacing w:line="360" w:lineRule="auto"/>
              <w:rPr>
                <w:rFonts w:ascii="仿宋" w:hAnsi="仿宋" w:eastAsia="仿宋"/>
                <w:sz w:val="32"/>
                <w:szCs w:val="32"/>
              </w:rPr>
            </w:pPr>
            <w:r>
              <w:rPr>
                <w:rFonts w:hint="eastAsia" w:ascii="仿宋" w:hAnsi="仿宋" w:eastAsia="仿宋"/>
                <w:b/>
                <w:sz w:val="32"/>
                <w:szCs w:val="32"/>
              </w:rPr>
              <w:t>省级集体荣誉奖励标兵</w:t>
            </w:r>
            <w:r>
              <w:rPr>
                <w:rFonts w:hint="eastAsia" w:ascii="仿宋" w:hAnsi="仿宋" w:eastAsia="仿宋"/>
                <w:sz w:val="32"/>
                <w:szCs w:val="32"/>
              </w:rPr>
              <w:t>：省道德模范群体等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jc w:val="center"/>
        </w:trPr>
        <w:tc>
          <w:tcPr>
            <w:tcW w:w="1031" w:type="dxa"/>
            <w:vAlign w:val="center"/>
          </w:tcPr>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1.5分</w:t>
            </w:r>
          </w:p>
        </w:tc>
        <w:tc>
          <w:tcPr>
            <w:tcW w:w="8101" w:type="dxa"/>
          </w:tcPr>
          <w:p>
            <w:pPr>
              <w:adjustRightInd w:val="0"/>
              <w:snapToGrid w:val="0"/>
              <w:spacing w:line="360" w:lineRule="auto"/>
              <w:rPr>
                <w:rFonts w:ascii="仿宋" w:hAnsi="仿宋" w:eastAsia="仿宋"/>
                <w:sz w:val="32"/>
                <w:szCs w:val="32"/>
              </w:rPr>
            </w:pPr>
            <w:r>
              <w:rPr>
                <w:rFonts w:hint="eastAsia" w:ascii="仿宋" w:hAnsi="仿宋" w:eastAsia="仿宋"/>
                <w:b/>
                <w:sz w:val="32"/>
                <w:szCs w:val="32"/>
              </w:rPr>
              <w:t>校级个人荣誉</w:t>
            </w:r>
            <w:r>
              <w:rPr>
                <w:rFonts w:hint="eastAsia" w:ascii="仿宋" w:hAnsi="仿宋" w:eastAsia="仿宋"/>
                <w:sz w:val="32"/>
                <w:szCs w:val="32"/>
              </w:rPr>
              <w:t>：校优秀团员、优秀团干、</w:t>
            </w:r>
            <w:r>
              <w:rPr>
                <w:rFonts w:hint="eastAsia" w:ascii="仿宋" w:hAnsi="仿宋" w:eastAsia="仿宋"/>
                <w:sz w:val="32"/>
                <w:szCs w:val="32"/>
                <w:lang w:val="en-US" w:eastAsia="zh-CN"/>
              </w:rPr>
              <w:t>优秀</w:t>
            </w:r>
            <w:r>
              <w:rPr>
                <w:rFonts w:hint="eastAsia" w:ascii="仿宋" w:hAnsi="仿宋" w:eastAsia="仿宋"/>
                <w:sz w:val="32"/>
                <w:szCs w:val="32"/>
              </w:rPr>
              <w:t>学生、优秀学生干部、优秀共产党员、优秀党支部书记等</w:t>
            </w:r>
          </w:p>
          <w:p>
            <w:pPr>
              <w:adjustRightInd w:val="0"/>
              <w:snapToGrid w:val="0"/>
              <w:spacing w:line="360" w:lineRule="auto"/>
              <w:rPr>
                <w:rFonts w:ascii="仿宋" w:hAnsi="仿宋" w:eastAsia="仿宋"/>
                <w:sz w:val="32"/>
                <w:szCs w:val="32"/>
              </w:rPr>
            </w:pPr>
            <w:r>
              <w:rPr>
                <w:rFonts w:hint="eastAsia" w:ascii="仿宋" w:hAnsi="仿宋" w:eastAsia="仿宋"/>
                <w:b/>
                <w:sz w:val="32"/>
                <w:szCs w:val="32"/>
              </w:rPr>
              <w:t>省级集体荣誉奖励</w:t>
            </w:r>
            <w:r>
              <w:rPr>
                <w:rFonts w:hint="eastAsia" w:ascii="仿宋" w:hAnsi="仿宋" w:eastAsia="仿宋"/>
                <w:sz w:val="32"/>
                <w:szCs w:val="32"/>
              </w:rPr>
              <w:t>：</w:t>
            </w:r>
            <w:r>
              <w:rPr>
                <w:rFonts w:ascii="仿宋" w:hAnsi="仿宋" w:eastAsia="仿宋"/>
                <w:sz w:val="32"/>
                <w:szCs w:val="32"/>
              </w:rPr>
              <w:t>省三好</w:t>
            </w:r>
            <w:r>
              <w:rPr>
                <w:rFonts w:hint="eastAsia" w:ascii="仿宋" w:hAnsi="仿宋" w:eastAsia="仿宋"/>
                <w:sz w:val="32"/>
                <w:szCs w:val="32"/>
              </w:rPr>
              <w:t>班级、</w:t>
            </w:r>
            <w:r>
              <w:rPr>
                <w:rFonts w:ascii="仿宋" w:hAnsi="仿宋" w:eastAsia="仿宋"/>
                <w:sz w:val="32"/>
                <w:szCs w:val="32"/>
              </w:rPr>
              <w:t>优秀团支部、道德模范群体</w:t>
            </w:r>
            <w:r>
              <w:rPr>
                <w:rFonts w:hint="eastAsia" w:ascii="仿宋" w:hAnsi="仿宋" w:eastAsia="仿宋"/>
                <w:sz w:val="32"/>
                <w:szCs w:val="32"/>
              </w:rPr>
              <w:t>提名等</w:t>
            </w:r>
          </w:p>
          <w:p>
            <w:pPr>
              <w:adjustRightInd w:val="0"/>
              <w:snapToGrid w:val="0"/>
              <w:spacing w:line="360" w:lineRule="auto"/>
              <w:rPr>
                <w:rFonts w:ascii="仿宋" w:hAnsi="仿宋" w:eastAsia="仿宋"/>
                <w:sz w:val="32"/>
                <w:szCs w:val="32"/>
              </w:rPr>
            </w:pPr>
            <w:r>
              <w:rPr>
                <w:rFonts w:hint="eastAsia" w:ascii="仿宋" w:hAnsi="仿宋" w:eastAsia="仿宋"/>
                <w:b/>
                <w:sz w:val="32"/>
                <w:szCs w:val="32"/>
              </w:rPr>
              <w:t>校级集体荣誉奖励标兵</w:t>
            </w:r>
            <w:r>
              <w:rPr>
                <w:rFonts w:hint="eastAsia" w:ascii="仿宋" w:hAnsi="仿宋" w:eastAsia="仿宋"/>
                <w:sz w:val="32"/>
                <w:szCs w:val="32"/>
              </w:rPr>
              <w:t>；校</w:t>
            </w:r>
            <w:r>
              <w:rPr>
                <w:rFonts w:hint="eastAsia" w:ascii="仿宋" w:hAnsi="仿宋" w:eastAsia="仿宋"/>
                <w:sz w:val="32"/>
                <w:szCs w:val="32"/>
                <w:lang w:val="en-US" w:eastAsia="zh-CN"/>
              </w:rPr>
              <w:t>优秀</w:t>
            </w:r>
            <w:r>
              <w:rPr>
                <w:rFonts w:hint="eastAsia" w:ascii="仿宋" w:hAnsi="仿宋" w:eastAsia="仿宋"/>
                <w:sz w:val="32"/>
                <w:szCs w:val="32"/>
              </w:rPr>
              <w:t>班级标兵、优秀团支部标兵、“五四”奖章（集体）等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center"/>
          </w:tcPr>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1分</w:t>
            </w:r>
          </w:p>
        </w:tc>
        <w:tc>
          <w:tcPr>
            <w:tcW w:w="8101" w:type="dxa"/>
          </w:tcPr>
          <w:p>
            <w:pPr>
              <w:adjustRightInd w:val="0"/>
              <w:snapToGrid w:val="0"/>
              <w:spacing w:line="360" w:lineRule="auto"/>
              <w:rPr>
                <w:rFonts w:ascii="仿宋" w:hAnsi="仿宋" w:eastAsia="仿宋"/>
                <w:sz w:val="32"/>
                <w:szCs w:val="32"/>
              </w:rPr>
            </w:pPr>
            <w:r>
              <w:rPr>
                <w:rFonts w:hint="eastAsia" w:ascii="仿宋" w:hAnsi="仿宋" w:eastAsia="仿宋"/>
                <w:b/>
                <w:sz w:val="32"/>
                <w:szCs w:val="32"/>
              </w:rPr>
              <w:t>校级</w:t>
            </w:r>
            <w:r>
              <w:rPr>
                <w:rFonts w:ascii="仿宋" w:hAnsi="仿宋" w:eastAsia="仿宋"/>
                <w:b/>
                <w:sz w:val="32"/>
                <w:szCs w:val="32"/>
              </w:rPr>
              <w:t>集体</w:t>
            </w:r>
            <w:r>
              <w:rPr>
                <w:rFonts w:hint="eastAsia" w:ascii="仿宋" w:hAnsi="仿宋" w:eastAsia="仿宋"/>
                <w:b/>
                <w:sz w:val="32"/>
                <w:szCs w:val="32"/>
              </w:rPr>
              <w:t>荣誉</w:t>
            </w:r>
            <w:r>
              <w:rPr>
                <w:rFonts w:ascii="仿宋" w:hAnsi="仿宋" w:eastAsia="仿宋"/>
                <w:sz w:val="32"/>
                <w:szCs w:val="32"/>
              </w:rPr>
              <w:t>：</w:t>
            </w:r>
            <w:r>
              <w:rPr>
                <w:rFonts w:hint="eastAsia" w:ascii="仿宋" w:hAnsi="仿宋" w:eastAsia="仿宋"/>
                <w:sz w:val="32"/>
                <w:szCs w:val="32"/>
              </w:rPr>
              <w:t>校</w:t>
            </w:r>
            <w:r>
              <w:rPr>
                <w:rFonts w:hint="eastAsia" w:ascii="仿宋" w:hAnsi="仿宋" w:eastAsia="仿宋"/>
                <w:sz w:val="32"/>
                <w:szCs w:val="32"/>
                <w:lang w:val="en-US" w:eastAsia="zh-CN"/>
              </w:rPr>
              <w:t>优秀</w:t>
            </w:r>
            <w:r>
              <w:rPr>
                <w:rFonts w:hint="eastAsia" w:ascii="仿宋" w:hAnsi="仿宋" w:eastAsia="仿宋"/>
                <w:sz w:val="32"/>
                <w:szCs w:val="32"/>
              </w:rPr>
              <w:t>班级</w:t>
            </w:r>
            <w:r>
              <w:rPr>
                <w:rFonts w:ascii="仿宋" w:hAnsi="仿宋" w:eastAsia="仿宋"/>
                <w:sz w:val="32"/>
                <w:szCs w:val="32"/>
              </w:rPr>
              <w:t>、</w:t>
            </w:r>
            <w:r>
              <w:rPr>
                <w:rFonts w:hint="eastAsia" w:ascii="仿宋" w:hAnsi="仿宋" w:eastAsia="仿宋"/>
                <w:sz w:val="32"/>
                <w:szCs w:val="32"/>
              </w:rPr>
              <w:t>优秀团支部、优良学风班、研究生“十佳团队”等</w:t>
            </w:r>
          </w:p>
        </w:tc>
      </w:tr>
    </w:tbl>
    <w:p>
      <w:pPr>
        <w:adjustRightInd w:val="0"/>
        <w:snapToGrid w:val="0"/>
        <w:spacing w:line="336" w:lineRule="auto"/>
        <w:ind w:firstLine="480"/>
        <w:rPr>
          <w:rFonts w:ascii="仿宋" w:hAnsi="仿宋" w:eastAsia="仿宋"/>
          <w:sz w:val="32"/>
          <w:szCs w:val="32"/>
        </w:rPr>
      </w:pPr>
      <w:r>
        <w:rPr>
          <w:rFonts w:hint="eastAsia" w:ascii="仿宋" w:hAnsi="仿宋" w:eastAsia="仿宋"/>
          <w:sz w:val="32"/>
          <w:szCs w:val="32"/>
        </w:rPr>
        <w:t>特殊表现是对见义勇为、拾金不昧等方面的表现，或在某方面做出突出贡献引起一定校园、社会反响的学生进行适当加分。</w:t>
      </w:r>
    </w:p>
    <w:p>
      <w:pPr>
        <w:adjustRightInd w:val="0"/>
        <w:snapToGrid w:val="0"/>
        <w:spacing w:line="336" w:lineRule="auto"/>
        <w:ind w:firstLine="480"/>
        <w:rPr>
          <w:rFonts w:ascii="仿宋" w:hAnsi="仿宋" w:eastAsia="仿宋"/>
          <w:sz w:val="32"/>
          <w:szCs w:val="32"/>
        </w:rPr>
      </w:pPr>
      <w:r>
        <w:rPr>
          <w:rFonts w:hint="eastAsia" w:ascii="仿宋" w:hAnsi="仿宋" w:eastAsia="仿宋"/>
          <w:sz w:val="32"/>
          <w:szCs w:val="32"/>
        </w:rPr>
        <w:t>德育奖励与特殊表现合并计分，两项总分不超过2分。</w:t>
      </w:r>
    </w:p>
    <w:p>
      <w:pPr>
        <w:spacing w:line="380" w:lineRule="exact"/>
        <w:ind w:firstLine="651" w:firstLineChars="200"/>
        <w:rPr>
          <w:rFonts w:ascii="仿宋" w:hAnsi="仿宋" w:eastAsia="仿宋"/>
          <w:b/>
          <w:color w:val="000000" w:themeColor="text1"/>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五、各学科各等级硕士研究生第二学年学业奖学金名额分配原则</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科各等级奖学金名额分配比例，按本学科学生筛选成绩的全院排名次序确定各等级的人数。其中各学科一等奖学金分配比例实行上限控制：一等奖学金名额的上限不超过本等级平均额度的120%，即学科学生人数*40%*（1+20%）。其他等级不限额度。</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按上述排名方式，当某一学科一等级奖学金分配额度达到上限时，按全院排名本学科后续学生将进入学科下一等级分配额度中计算，以此类推。</w:t>
      </w:r>
    </w:p>
    <w:p>
      <w:pPr>
        <w:spacing w:line="380" w:lineRule="exact"/>
        <w:ind w:firstLine="651"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六、附则</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本条例解释权归马克思主义学院硕士研究生</w:t>
      </w:r>
      <w:r>
        <w:rPr>
          <w:rFonts w:ascii="仿宋" w:hAnsi="仿宋" w:eastAsia="仿宋"/>
          <w:color w:val="000000" w:themeColor="text1"/>
          <w:sz w:val="32"/>
          <w:szCs w:val="32"/>
          <w14:textFill>
            <w14:solidFill>
              <w14:schemeClr w14:val="tx1"/>
            </w14:solidFill>
          </w14:textFill>
        </w:rPr>
        <w:t>奖学金评定小组</w:t>
      </w:r>
      <w:r>
        <w:rPr>
          <w:rFonts w:hint="eastAsia" w:ascii="仿宋" w:hAnsi="仿宋" w:eastAsia="仿宋"/>
          <w:color w:val="000000" w:themeColor="text1"/>
          <w:sz w:val="32"/>
          <w:szCs w:val="32"/>
          <w14:textFill>
            <w14:solidFill>
              <w14:schemeClr w14:val="tx1"/>
            </w14:solidFill>
          </w14:textFill>
        </w:rPr>
        <w:t>。</w:t>
      </w: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rPr>
          <w:rFonts w:ascii="仿宋" w:hAnsi="仿宋" w:eastAsia="仿宋"/>
          <w:color w:val="000000" w:themeColor="text1"/>
          <w:sz w:val="32"/>
          <w:szCs w:val="32"/>
          <w14:textFill>
            <w14:solidFill>
              <w14:schemeClr w14:val="tx1"/>
            </w14:solidFill>
          </w14:textFill>
        </w:rPr>
      </w:pPr>
    </w:p>
    <w:p>
      <w:pPr>
        <w:spacing w:line="380" w:lineRule="exact"/>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哈尔滨工业大学马克思主义学院</w:t>
      </w:r>
    </w:p>
    <w:p>
      <w:pPr>
        <w:spacing w:line="380" w:lineRule="exact"/>
        <w:jc w:val="right"/>
        <w:rPr>
          <w:rFonts w:ascii="仿宋" w:hAnsi="仿宋" w:eastAsia="仿宋"/>
          <w:color w:val="000000" w:themeColor="text1"/>
          <w:sz w:val="32"/>
          <w:szCs w:val="32"/>
          <w14:textFill>
            <w14:solidFill>
              <w14:schemeClr w14:val="tx1"/>
            </w14:solidFill>
          </w14:textFill>
        </w:rPr>
      </w:pPr>
    </w:p>
    <w:p>
      <w:pPr>
        <w:spacing w:line="380" w:lineRule="exact"/>
        <w:ind w:firstLine="640" w:firstLineChars="200"/>
        <w:jc w:val="right"/>
        <w:rPr>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20</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 xml:space="preserve">                                                                                                                                                                                                                                                                                                       </w:t>
      </w:r>
    </w:p>
    <w:p>
      <w:pPr>
        <w:rPr>
          <w:rFonts w:ascii="仿宋_GB2312" w:hAnsi="Calibri" w:eastAsia="仿宋_GB2312" w:cs="Times New Roman"/>
          <w:color w:val="000000" w:themeColor="text1"/>
          <w:sz w:val="28"/>
          <w:szCs w:val="28"/>
          <w14:textFill>
            <w14:solidFill>
              <w14:schemeClr w14:val="tx1"/>
            </w14:solidFill>
          </w14:textFill>
        </w:rPr>
      </w:pPr>
    </w:p>
    <w:p>
      <w:pPr>
        <w:rPr>
          <w:rFonts w:ascii="仿宋_GB2312" w:hAnsi="Calibri" w:eastAsia="仿宋_GB2312" w:cs="Times New Roman"/>
          <w:color w:val="000000" w:themeColor="text1"/>
          <w:sz w:val="28"/>
          <w:szCs w:val="28"/>
          <w14:textFill>
            <w14:solidFill>
              <w14:schemeClr w14:val="tx1"/>
            </w14:solidFill>
          </w14:textFill>
        </w:rPr>
      </w:pPr>
    </w:p>
    <w:p>
      <w:pPr>
        <w:rPr>
          <w:rFonts w:ascii="仿宋_GB2312" w:hAnsi="Calibri" w:eastAsia="仿宋_GB2312" w:cs="Times New Roman"/>
          <w:color w:val="000000" w:themeColor="text1"/>
          <w:sz w:val="28"/>
          <w:szCs w:val="28"/>
          <w14:textFill>
            <w14:solidFill>
              <w14:schemeClr w14:val="tx1"/>
            </w14:solidFill>
          </w14:textFill>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54"/>
    <w:rsid w:val="000F7A54"/>
    <w:rsid w:val="00162510"/>
    <w:rsid w:val="00327B4C"/>
    <w:rsid w:val="003700D4"/>
    <w:rsid w:val="005B42D0"/>
    <w:rsid w:val="00FA5CE4"/>
    <w:rsid w:val="00FB633C"/>
    <w:rsid w:val="03D64352"/>
    <w:rsid w:val="0B522D9F"/>
    <w:rsid w:val="175D372C"/>
    <w:rsid w:val="1EC350BF"/>
    <w:rsid w:val="271C6EBF"/>
    <w:rsid w:val="3099669A"/>
    <w:rsid w:val="334258A0"/>
    <w:rsid w:val="54C01382"/>
    <w:rsid w:val="56B240C8"/>
    <w:rsid w:val="5B0A0EEA"/>
    <w:rsid w:val="62AD5862"/>
    <w:rsid w:val="7BBD100E"/>
    <w:rsid w:val="7E1E2E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宋体"/>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纯文本 Char"/>
    <w:basedOn w:val="5"/>
    <w:link w:val="2"/>
    <w:qFormat/>
    <w:uiPriority w:val="0"/>
    <w:rPr>
      <w:rFonts w:ascii="宋体" w:hAnsi="Courier New" w:eastAsia="宋体"/>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566</Words>
  <Characters>3229</Characters>
  <Lines>26</Lines>
  <Paragraphs>7</Paragraphs>
  <ScaleCrop>false</ScaleCrop>
  <LinksUpToDate>false</LinksUpToDate>
  <CharactersWithSpaces>3788</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2021-07-28T08:25:00Z</dcterms:created>
  <dc:creator>Windows User</dc:creator>
  <cp:lastModifiedBy>mengxiankui</cp:lastModifiedBy>
  <dcterms:modified xsi:type="dcterms:W3CDTF">2022-06-30T05:00:34Z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